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детей и подростков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02:39 МСК · База обновлена: 29.08.2026, 02:35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Подготовить и провести плановое выездное обследование дошкольной образовательной организации.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подготовительной работе перед началом плановых надзорных мероприятий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отправку уведомления о начале надзорного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отправку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принятие решения о проведении надзорного мероприятия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согласование плана надзорных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информации о плане надзорных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надзорных мероприятий в соответствии с риск-ориентированным подходом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отправку уведомления о начале надзорного мероприятия</w:t>
      </w:r>
      <w:r>
        <w:br/>
      </w:r>
      <w:r>
        <w:rPr>
          <w:b/>
          <w:i w:val="0"/>
        </w:rPr>
        <w:t>3 - принятие решения о проведении надзорного мероприятия</w:t>
      </w:r>
      <w:r>
        <w:br/>
      </w:r>
      <w:r>
        <w:rPr>
          <w:b/>
          <w:i w:val="0"/>
        </w:rPr>
        <w:t>4 - согласование плана надзорных мероприятий</w:t>
      </w:r>
      <w:r>
        <w:br/>
      </w:r>
      <w:r>
        <w:rPr>
          <w:b/>
          <w:i w:val="0"/>
        </w:rPr>
        <w:t>5 - размещение информации о плане надзорных мероприятий</w:t>
      </w:r>
      <w:r>
        <w:br/>
      </w:r>
      <w:r>
        <w:rPr>
          <w:b/>
          <w:i w:val="0"/>
        </w:rPr>
        <w:t>6 - планирование надзорных мероприятий в соответствии с риск-ориентированным подходом</w:t>
      </w:r>
    </w:p>
    <w:p>
      <w:pPr>
        <w:spacing w:after="58"/>
      </w:pPr>
      <w:r>
        <w:rPr>
          <w:b w:val="0"/>
          <w:i w:val="0"/>
        </w:rPr>
        <w:t>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п.4 ст.21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 «..»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п.1 ст.64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ст. 61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информационного обеспечения государственного контроля (надзора), муниципального контроля создаются:</w:t>
      </w:r>
    </w:p>
    <w:p>
      <w:pPr>
        <w:spacing w:after="58"/>
      </w:pPr>
      <w:r>
        <w:rPr>
          <w:b w:val="0"/>
          <w:i w:val="0"/>
        </w:rPr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</w:r>
    </w:p>
    <w:p>
      <w:pPr>
        <w:spacing w:after="58"/>
      </w:pPr>
      <w:r>
        <w:rPr>
          <w:b w:val="0"/>
          <w:i w:val="0"/>
        </w:rPr>
        <w:t>2) единый реестр контрольных (надзорных) мероприятий «…».</w:t>
      </w:r>
    </w:p>
    <w:p>
      <w:pPr>
        <w:spacing w:after="58"/>
      </w:pPr>
      <w:r>
        <w:rPr>
          <w:b w:val="0"/>
          <w:i w:val="0"/>
        </w:rPr>
        <w:t>Проведение контрольных (надзорных) мероприятий, информация о которых на момент начала их проведения в едином реестре контрольных (надзорных) мероприятий отсутствует, не допускается.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п.1 ст.17, п.4 ст. 19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Государственный контроль (надзор),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>
      <w:pPr>
        <w:spacing w:after="58"/>
      </w:pPr>
      <w:r>
        <w:rPr>
          <w:b w:val="0"/>
          <w:i w:val="0"/>
        </w:rPr>
        <w:t>В соответствии с п.1 ст. 22 Федерального закона «О государственном контроле (надзоре) и муниципальном контроле в Российской Федерации» от 31.07.2020 № 248-ФЗ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Зонирование собственной территории дошкольной организации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игровой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выделение физкультурно-оздоровительной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групповых и физкультурно-оздоровительных площадок в игровой зоне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хозяйственной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выделение учебно-опытной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специально выделенного места для хранения колясок, санок, велосипедов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выделение игровой зоны</w:t>
      </w:r>
      <w:r>
        <w:br/>
      </w:r>
      <w:r>
        <w:rPr>
          <w:b/>
          <w:i w:val="0"/>
        </w:rPr>
        <w:t>3 - наличие групповых и физкультурно-оздоровительных площадок в игровой зоне</w:t>
      </w:r>
      <w:r>
        <w:br/>
      </w:r>
      <w:r>
        <w:rPr>
          <w:b/>
          <w:i w:val="0"/>
        </w:rPr>
        <w:t>4 - выделение хозяйственной зоны</w:t>
      </w:r>
      <w:r>
        <w:br/>
      </w:r>
      <w:r>
        <w:rPr>
          <w:b/>
          <w:i w:val="0"/>
        </w:rPr>
        <w:t>6 - наличие специально выделенного места для хранения колясок, санок, велосипедов</w:t>
      </w:r>
    </w:p>
    <w:p>
      <w:pPr>
        <w:spacing w:after="58"/>
      </w:pPr>
      <w:r>
        <w:rPr>
          <w:b w:val="0"/>
          <w:i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критериям, определяющим количество детей в группах дошкольной образовательной организации,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режим дня в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состояние здоровья воспитанников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показатели физического развития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компенсирующую или комбинированную направленность групп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климатическую зону размещения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возраст воспитанников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состояние здоровья воспитанников</w:t>
      </w:r>
      <w:r>
        <w:br/>
      </w:r>
      <w:r>
        <w:rPr>
          <w:b/>
          <w:i w:val="0"/>
        </w:rPr>
        <w:t>4 - компенсирующую или комбинированную направленность групп</w:t>
      </w:r>
      <w:r>
        <w:br/>
      </w:r>
      <w:r>
        <w:rPr>
          <w:b/>
          <w:i w:val="0"/>
        </w:rPr>
        <w:t>6 - возраст воспитанников</w:t>
      </w:r>
    </w:p>
    <w:p>
      <w:pPr>
        <w:spacing w:after="58"/>
      </w:pPr>
      <w:r>
        <w:rPr>
          <w:b w:val="0"/>
          <w:i w:val="0"/>
        </w:rP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Количество детей в группах компенсирующей направленности не должно превышать:</w:t>
      </w:r>
    </w:p>
    <w:p>
      <w:pPr>
        <w:spacing w:after="58"/>
      </w:pPr>
      <w:r>
        <w:rPr>
          <w:b w:val="0"/>
          <w:i w:val="0"/>
        </w:rPr>
        <w:t>для детей с тяжелыми нарушениями речи - 6 детей в возрасте до 3 лет и 10 детей в возрасте старше 3 лет, для детей с фонетико-фонематическими нарушениями речи - 12 детей в возрасте старше 3 лет, для глухих детей - 6 детей для обеих возрастных групп «…»</w:t>
      </w:r>
    </w:p>
    <w:p>
      <w:pPr>
        <w:spacing w:after="58"/>
      </w:pPr>
      <w:r>
        <w:rPr>
          <w:b w:val="0"/>
          <w:i w:val="0"/>
        </w:rPr>
        <w:t>Количество детей в группах комбинированной направленности не должно превышать:</w:t>
      </w:r>
    </w:p>
    <w:p>
      <w:pPr>
        <w:spacing w:after="58"/>
      </w:pPr>
      <w:r>
        <w:rPr>
          <w:b w:val="0"/>
          <w:i w:val="0"/>
        </w:rPr>
        <w:t>в возрасте до 3 лет - не более 10 детей, в том числе не более 3 детей с ограниченными возможностями здоровья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групп раннего возраста (до 3 лет) - не менее 2,5 м на 1 ребенка и для групп дошкольного возраста (от 3 до 7 лет) - не менее 2 м на одного ребенка, без учета мебели и ее расстановки. Площадь спальной для детей до 3 дет должна составлять не менее 1,8 м на ребенка, для детей от 3 до 7 лет - не менее 2,0 м не ребенка. Физкультурный зал для детей дошкольного возраста должен быть не менее 75 м.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Планировка помещений дошкольной образовательной организации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не выше третьего этажа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для детей до 3-х лет на первом этаже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изолированных помещений для каждой детской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самостоятельный вход на игровую площадку из групповых ячеек для детей младенческого и раннего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размещение всех групповых ячеек на 3-м этаже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для детей с нарушениями опорно-двигательного аппарата и зрения на 1-м этаже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размещение групповых ячеек не выше третьего этажа</w:t>
      </w:r>
      <w:r>
        <w:br/>
      </w:r>
      <w:r>
        <w:rPr>
          <w:b/>
          <w:i w:val="0"/>
        </w:rPr>
        <w:t>2 - размещение групповых ячеек для детей до 3-х лет на первом этаже</w:t>
      </w:r>
      <w:r>
        <w:br/>
      </w:r>
      <w:r>
        <w:rPr>
          <w:b/>
          <w:i w:val="0"/>
        </w:rPr>
        <w:t>3 - наличие изолированных помещений для каждой детской группы</w:t>
      </w:r>
      <w:r>
        <w:br/>
      </w:r>
      <w:r>
        <w:rPr>
          <w:b/>
          <w:i w:val="0"/>
        </w:rPr>
        <w:t>4 - самостоятельный вход на игровую площадку из групповых ячеек для детей младенческого и раннего возраста</w:t>
      </w:r>
      <w:r>
        <w:br/>
      </w:r>
      <w:r>
        <w:rPr>
          <w:b/>
          <w:i w:val="0"/>
        </w:rPr>
        <w:t>6 - размещение групповых ячеек для детей с нарушениями опорно-двигательного аппарата и зрения на 1-м этаже</w:t>
      </w:r>
    </w:p>
    <w:p>
      <w:pPr>
        <w:spacing w:after="58"/>
      </w:pPr>
      <w:r>
        <w:rPr>
          <w:b w:val="0"/>
          <w:i w:val="0"/>
        </w:rPr>
        <w:t>Групповые ячейки размещаются не выше третьего этажа,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Групповые ячейки для детей до 3-х лет располагаются на 1 этаже.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для детей с нарушениями опорно-двигательного аппарата и зрения - на первом этаже.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занятий с использованием ЭСО с воспитанниками 6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непрерывной работы с персональным компьютером 20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6-летними воспитанниками ноутбука без дополнительной клавиатуры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гимнастики для глаз только после окончания занятия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непрерывную продолжительность работы с интерактивной доской - 5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занятий с ЭСО для детей младше 5 лет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продолжительность непрерывной работы с персональным компьютером 20 минут</w:t>
      </w:r>
      <w:r>
        <w:br/>
      </w:r>
      <w:r>
        <w:rPr>
          <w:b/>
          <w:i w:val="0"/>
        </w:rPr>
        <w:t>3 - использование 6-летними воспитанниками ноутбука без дополнительной клавиатуры</w:t>
      </w:r>
      <w:r>
        <w:br/>
      </w:r>
      <w:r>
        <w:rPr>
          <w:b/>
          <w:i w:val="0"/>
        </w:rPr>
        <w:t>4 - проведение гимнастики для глаз только после окончания занятия</w:t>
      </w:r>
      <w:r>
        <w:br/>
      </w:r>
      <w:r>
        <w:rPr>
          <w:b/>
          <w:i w:val="0"/>
        </w:rPr>
        <w:t>6 - проведение занятий с ЭСО для детей младше 5 лет</w:t>
      </w:r>
    </w:p>
    <w:p>
      <w:pPr>
        <w:spacing w:after="58"/>
      </w:pPr>
      <w:r>
        <w:rPr>
          <w:b w:val="0"/>
          <w:i w:val="0"/>
        </w:rPr>
        <w:t>В соответствии с таблицей 6.8.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работы с персональным компьютером на занятии для детей 6-7 лет не более 15 мин.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5-7 лет - 5-7 минут.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2.10.2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п.189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для детей 6-7 лет «…» использование ноутбуков возможно при наличии дополнительной клавиатуры.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п.189,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использовании ЭСО во время занятий и перемен должна проводиться гимнастика для глаз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2.10.2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Занятия с использованием ЭСО в возрастных группах до 5 лет не проводятся.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2.10.2.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документов об оценке (подтверждении)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поверхности с вентиляционными отверстиями игрушки «Домик»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острые кромки и зазоры в деталях пластикового конструктора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твердых инородных предметов в наполнителе мягконабивной игрушки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целостности швов мягконабивных игрушек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несоблюдение требований, касающихся мытья игрушек в конце рабочего дня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отсутствие документов об оценке (подтверждении) соответствия</w:t>
      </w:r>
      <w:r>
        <w:br/>
      </w:r>
      <w:r>
        <w:rPr>
          <w:b/>
          <w:i w:val="0"/>
        </w:rPr>
        <w:t>3 - острые кромки и зазоры в деталях пластикового конструктора</w:t>
      </w:r>
      <w:r>
        <w:br/>
      </w:r>
      <w:r>
        <w:rPr>
          <w:b/>
          <w:i w:val="0"/>
        </w:rPr>
        <w:t>4 - наличие твердых инородных предметов в наполнителе мягконабивной игрушки</w:t>
      </w:r>
      <w:r>
        <w:br/>
      </w:r>
      <w:r>
        <w:rPr>
          <w:b/>
          <w:i w:val="0"/>
        </w:rPr>
        <w:t>5 - нарушение целостности швов мягконабивных игрушек</w:t>
      </w:r>
      <w:r>
        <w:br/>
      </w:r>
      <w:r>
        <w:rPr>
          <w:b/>
          <w:i w:val="0"/>
        </w:rPr>
        <w:t>6 - несоблюдение требований, касающихся мытья игрушек в конце рабочего дня</w:t>
      </w:r>
    </w:p>
    <w:p>
      <w:pPr>
        <w:spacing w:after="58"/>
      </w:pPr>
      <w:r>
        <w:rPr>
          <w:b w:val="0"/>
          <w:i w:val="0"/>
        </w:rPr>
        <w:t>Вновь приобретаемое оборудование, игры и игрушки для детей должны иметь документы об оценке (подтверждении) соответствия.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3.2.3.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Доступные кромки, острые концы, жесткие детали, пружины, крепежные детали, зазоры, углы, выступы, шнуры, канаты и крепления игрушек должны исключать риск травмирования ребенка.</w:t>
      </w:r>
    </w:p>
    <w:p>
      <w:pPr>
        <w:spacing w:after="58"/>
      </w:pPr>
      <w:r>
        <w:rPr>
          <w:b w:val="0"/>
          <w:i w:val="0"/>
        </w:rPr>
        <w:t>ТР ТС 008/2011 «О безопасности игрушек», п. 3.2, ст.4.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Мягконабивная игрушка не должна содержать в наполнителе твердых или острых инородных предметов.</w:t>
      </w:r>
    </w:p>
    <w:p>
      <w:pPr>
        <w:spacing w:after="58"/>
      </w:pPr>
      <w:r>
        <w:rPr>
          <w:b w:val="0"/>
          <w:i w:val="0"/>
        </w:rPr>
        <w:t>ТР ТС 008/2011 «О безопасности игрушек», п. 3.2, ст.4.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Швы мягконабивной игрушки должны быть прочными.</w:t>
      </w:r>
    </w:p>
    <w:p>
      <w:pPr>
        <w:spacing w:after="58"/>
      </w:pPr>
      <w:r>
        <w:rPr>
          <w:b w:val="0"/>
          <w:i w:val="0"/>
        </w:rPr>
        <w:t>ТР ТС 008/2011 «О безопасности игрушек», п. 3.2, ст.4.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Используемое игровое оборудование должно соответствовать обязательным требованиям, установленным техническими регламентами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3.3.2.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естественного освещения в помещениях для хранения и обработки уборочного инвентаря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зашторивание окон в спальных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светоактивной площади окон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естественного освещения в душевых и туалетах для персонала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загрязнение оконных стекол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целостности стекла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зашторивание окон в спальных помещениях</w:t>
      </w:r>
      <w:r>
        <w:br/>
      </w:r>
      <w:r>
        <w:rPr>
          <w:b/>
          <w:i w:val="0"/>
        </w:rPr>
        <w:t>3 - уменьшение светоактивной площади окон</w:t>
      </w:r>
      <w:r>
        <w:br/>
      </w:r>
      <w:r>
        <w:rPr>
          <w:b/>
          <w:i w:val="0"/>
        </w:rPr>
        <w:t>5 - загрязнение оконных стекол</w:t>
      </w:r>
      <w:r>
        <w:br/>
      </w:r>
      <w:r>
        <w:rPr>
          <w:b/>
          <w:i w:val="0"/>
        </w:rPr>
        <w:t>6 - нарушение целостности стекла</w:t>
      </w:r>
    </w:p>
    <w:p>
      <w:pPr>
        <w:spacing w:after="58"/>
      </w:pPr>
      <w:r>
        <w:rPr>
          <w:b w:val="0"/>
          <w:i w:val="0"/>
        </w:rP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2.8.4.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Конструкция регулируемых солнцезащитных устройств на окнах в исходном положении не должна уменьшать светоактивную площадь оконного проема.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2.8.4.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Чистка оконных стекол проводится по мере их загрязнения.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2.8.3.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Не допускается наличие трещин и иное нарушение целостности стекла.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2.8.3.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занятий для детей дошкольного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содержания занятия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дневной суммарной образовательной нагрузки для детей дошкольного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использования интерактивной панели для детей 5-7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физкультурных минуток во время занятия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использования персонального компьютера для детей 6-7 лет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продолжительности занятий для детей дошкольного возраста</w:t>
      </w:r>
      <w:r>
        <w:br/>
      </w:r>
      <w:r>
        <w:rPr>
          <w:b/>
          <w:i w:val="0"/>
        </w:rPr>
        <w:t>3 - продолжительности дневной суммарной образовательной нагрузки для детей дошкольного возраста</w:t>
      </w:r>
      <w:r>
        <w:br/>
      </w:r>
      <w:r>
        <w:rPr>
          <w:b/>
          <w:i w:val="0"/>
        </w:rPr>
        <w:t>4 - продолжительности использования интерактивной панели для детей 5-7 лет</w:t>
      </w:r>
      <w:r>
        <w:br/>
      </w:r>
      <w:r>
        <w:rPr>
          <w:b/>
          <w:i w:val="0"/>
        </w:rPr>
        <w:t>5 - наличия физкультурных минуток во время занятия</w:t>
      </w:r>
      <w:r>
        <w:br/>
      </w:r>
      <w:r>
        <w:rPr>
          <w:b/>
          <w:i w:val="0"/>
        </w:rPr>
        <w:t>6 - продолжительности использования персонального компьютера для детей 6-7 лет</w:t>
      </w:r>
    </w:p>
    <w:p>
      <w:pPr>
        <w:spacing w:after="58"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 продолжительности занятий для детей дошкольного возраста.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6.6,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 продолжительности дневной суммарной образовательной нагрузки для детей дошкольного возраста.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6.6,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 продолжительности использования интерактивной панели для детей 5-7 лет.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профилактики нарушений осанки во время занятий должны проводиться соответствующие физические упражнения (далее - физкультминутки).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2.10.2.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 продолжительности использования персонального компьютера для детей 6-7 лет.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требованиям санитарных правил при устройстве туалетных комнат дошкольной образовательной организации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стеллажа с ячейками для хранения индивидуальных горшков для детей раннего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каждого ребенка индивидуальным сидением для унитаза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в туалетной комнате умывальной зоны и зоны санитарных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детской ванны для детей ясельного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установление вешалок для детских полотенец в зоне санитарных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отдельных туалетных комнат для мальчиков и девочек старших и подготовительных групп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наличие стеллажа с ячейками для хранения индивидуальных горшков для детей раннего возраста</w:t>
      </w:r>
      <w:r>
        <w:br/>
      </w:r>
      <w:r>
        <w:rPr>
          <w:b/>
          <w:i w:val="0"/>
        </w:rPr>
        <w:t>2 - обеспечение каждого ребенка индивидуальным сидением для унитаза</w:t>
      </w:r>
      <w:r>
        <w:br/>
      </w:r>
      <w:r>
        <w:rPr>
          <w:b/>
          <w:i w:val="0"/>
        </w:rPr>
        <w:t>3 - выделение в туалетной комнате умывальной зоны и зоны санитарных узлов</w:t>
      </w:r>
      <w:r>
        <w:br/>
      </w:r>
      <w:r>
        <w:rPr>
          <w:b/>
          <w:i w:val="0"/>
        </w:rPr>
        <w:t>4 - наличие детской ванны для детей ясельного возраста</w:t>
      </w:r>
      <w:r>
        <w:br/>
      </w:r>
      <w:r>
        <w:rPr>
          <w:b/>
          <w:i w:val="0"/>
        </w:rPr>
        <w:t>6 - оборудование отдельных туалетных комнат для мальчиков и девочек старших и подготовительных групп</w:t>
      </w:r>
    </w:p>
    <w:p>
      <w:pPr>
        <w:spacing w:after="58"/>
      </w:pPr>
      <w:r>
        <w:rPr>
          <w:b w:val="0"/>
          <w:i w:val="0"/>
        </w:rPr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В зоне санитарных узлов размещаются унитазы, которые обеспечиваются индивидуальными сидениями для каждого ребенка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Туалеты дошкольной организации, организации, осуществляющей присмотр и уход за детьми, делятся на умывальную зону и зону санитарных узлов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Туалеты для детей раннего возраста оборудуются в одном помещении. В нем устанавливаются «…» детская ванна (для детей ясельного возраста) или душевой поддон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старших и подготовительных группах туалетные комнаты (отдельные кабинки) оборудуются отдельно для мальчиков и девочек.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критическим контрольным точкам, требующим проверки с позиций риска распространения инфекционных заболеваний,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ежедневное очищение ковровых покрытий с использованием пылесоса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маркировку уборочного инвентаря в зависимости от назначения помещений и видов работ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влажную уборку помещений с применением моющих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дверных ручек, поручней, выключателей с использованием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влажной уборки в групповых помещениях не реже 2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генеральную уборку всех помещений не реже одного раза в 2 месяца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ежедневное очищение ковровых покрытий с использованием пылесоса</w:t>
      </w:r>
      <w:r>
        <w:br/>
      </w:r>
      <w:r>
        <w:rPr>
          <w:b/>
          <w:i w:val="0"/>
        </w:rPr>
        <w:t>2 - маркировку уборочного инвентаря в зависимости от назначения помещений и видов работ</w:t>
      </w:r>
      <w:r>
        <w:br/>
      </w:r>
      <w:r>
        <w:rPr>
          <w:b/>
          <w:i w:val="0"/>
        </w:rPr>
        <w:t>3 - ежедневную влажную уборку помещений с применением моющих средств</w:t>
      </w:r>
      <w:r>
        <w:br/>
      </w:r>
      <w:r>
        <w:rPr>
          <w:b/>
          <w:i w:val="0"/>
        </w:rPr>
        <w:t>4 - ежедневную обработку дверных ручек, поручней, выключателей с использованием дезинфицирующих средств</w:t>
      </w:r>
      <w:r>
        <w:br/>
      </w:r>
      <w:r>
        <w:rPr>
          <w:b/>
          <w:i w:val="0"/>
        </w:rPr>
        <w:t>5 - проведение влажной уборки в групповых помещениях не реже 2 раз в день</w:t>
      </w:r>
    </w:p>
    <w:p>
      <w:pPr>
        <w:spacing w:after="58"/>
      </w:pPr>
      <w:r>
        <w:rPr>
          <w:b w:val="0"/>
          <w:i w:val="0"/>
        </w:rPr>
        <w:t>«…» Ковровые покрытия ежедневно очищаются с использованием пылесоса.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2.11.2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Все помещения подлежат ежедневной влажной уборке с применением моющих средств.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Дверные ручки, поручни, выключатели ежедневно протираются с использованием дезинфицирующих средств.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2.11.4.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в спальнях проводится после ночного и дневного сна, в спортивных залах и групповых помещениях не реже 2 раз в день.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требованиям санитарного законодательства, обязательным для исполнения сотрудниками дошкольной образовательной организации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личной медицинской книжки у работника дошкольной образовательной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ежедневный осмотр после окончания работы персонала дошкольной образовательной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обязательную гигиеническую подготовку и аттестацию персонала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наличие личной медицинской книжки у работника дошкольной образовательной организации</w:t>
      </w:r>
      <w:r>
        <w:br/>
      </w:r>
      <w:r>
        <w:rPr>
          <w:b/>
          <w:i w:val="0"/>
        </w:rPr>
        <w:t>3 - вакцинацию каждого работника в соответствии с национальным календарем профилактических прививок</w:t>
      </w:r>
      <w:r>
        <w:br/>
      </w:r>
      <w:r>
        <w:rPr>
          <w:b/>
          <w:i w:val="0"/>
        </w:rPr>
        <w:t>4 - предварительный и периодические медицинские осмотры при поступлении на работу в установленном порядке</w:t>
      </w:r>
      <w:r>
        <w:br/>
      </w:r>
      <w:r>
        <w:rPr>
          <w:b/>
          <w:i w:val="0"/>
        </w:rPr>
        <w:t>6 - обязательную гигиеническую подготовку и аттестацию персонала</w:t>
      </w:r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Порядок оформления проверочных листов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заполнение проверочных листов инспектором в электронной форме посредством внесения ответов на контрольные вопросы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подписание проверочных листов контролируемым лицом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формирование проверочных листов надзорными органами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заверение заполненных проверочных листов усиленной квалифицированной электронной подписью инспектора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инициирование внеплановых надзорных мероприятий на основании сведений, представленных в проверочном листе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7" name="Picture 5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утверждение надзорными органами списка контрольных вопросов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заполнение проверочных листов инспектором в электронной форме посредством внесения ответов на контрольные вопросы</w:t>
      </w:r>
      <w:r>
        <w:br/>
      </w:r>
      <w:r>
        <w:rPr>
          <w:b/>
          <w:i w:val="0"/>
        </w:rPr>
        <w:t>3 - формирование проверочных листов надзорными органами</w:t>
      </w:r>
      <w:r>
        <w:br/>
      </w:r>
      <w:r>
        <w:rPr>
          <w:b/>
          <w:i w:val="0"/>
        </w:rPr>
        <w:t>4 - заверение заполненных проверочных листов усиленной квалифицированной электронной подписью инспектора</w:t>
      </w:r>
      <w:r>
        <w:br/>
      </w:r>
      <w:r>
        <w:rPr>
          <w:b/>
          <w:i w:val="0"/>
        </w:rPr>
        <w:t>6 - утверждение надзорными органами списка контрольных вопросов</w:t>
      </w:r>
    </w:p>
    <w:p>
      <w:pPr>
        <w:spacing w:after="58"/>
      </w:pPr>
      <w:r>
        <w:rPr>
          <w:b w:val="0"/>
          <w:i w:val="0"/>
        </w:rPr>
        <w:t>При проведении контрольных (надзорных) мероприятий проверочные листы, указанные в решении о проведении контрольного (надзорного) мероприятия, заполняются инспектором в электронной форме посредством внесения ответов на контрольные вопросы «…»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п.4 ст. 53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снижения рисков причинения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п.1 ст. 53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проведении контрольных (надзорных) мероприятий проверочные листы, «…» заверяются усиленной квалифицированной электронной подписью инспектора.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п.4 ст. 53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снижения рисков причинения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п.1 ст. 53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5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58" w:name="case_0002"/>
      <w:r>
        <w:t>Ситуационная задача 0002</w:t>
      </w:r>
      <w:bookmarkEnd w:id="5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Провести оценку полученных данных при проведении планового контрольного (надзорного) мероприятия по обследованию загородной стационарной организации труда и отдыха детей.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характеристикам показателя потенциального риска причинения вреда здоровью +(R)+ при осуществлении деятельности по организации труда и отдыха детей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значение R, составляющее 1х10</w:t>
      </w:r>
      <w:r>
        <w:rPr>
          <w:b w:val="0"/>
          <w:i w:val="0"/>
          <w:vertAlign w:val="superscript"/>
        </w:rPr>
        <w:t>-4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9" name="Picture 5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плановых контрольных (надзорных) мероприятий – один раз перед началом каникул и далее один раз во время каникул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высокий риск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плановых контрольных (надзорных) мероприятий более 2-х раз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0" name="Picture 6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чрезвычайно высокий риск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1" name="Picture 6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значение R &gt; 1х10</w:t>
      </w:r>
      <w:r>
        <w:rPr>
          <w:b w:val="0"/>
          <w:i w:val="0"/>
          <w:vertAlign w:val="superscript"/>
        </w:rPr>
        <w:t>-3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проведение плановых контрольных (надзорных) мероприятий – один раз перед началом каникул и далее один раз во время каникул</w:t>
      </w:r>
      <w:r>
        <w:br/>
      </w:r>
      <w:r>
        <w:rPr>
          <w:b/>
          <w:i w:val="0"/>
        </w:rPr>
        <w:t>5 - чрезвычайно высокий риск</w:t>
      </w:r>
      <w:r>
        <w:br/>
      </w:r>
      <w:r>
        <w:rPr>
          <w:b/>
          <w:i w:val="0"/>
        </w:rPr>
        <w:t>6 - значение R &gt; 1х10</w:t>
      </w:r>
      <w:r>
        <w:rPr>
          <w:b/>
          <w:i w:val="0"/>
          <w:vertAlign w:val="superscript"/>
        </w:rPr>
        <w:t>-3</w:t>
      </w:r>
    </w:p>
    <w:p>
      <w:pPr>
        <w:spacing w:after="58"/>
      </w:pPr>
      <w:r>
        <w:rPr>
          <w:b w:val="0"/>
          <w:i w:val="0"/>
        </w:rPr>
        <w:t>Плановые контрольные (надзорные) мероприятия в отношении следующих объектов контроля, отнесенных к категории чрезвычайно высокого риска, проводятся со следующей периодичностью: «…» в отношении деятельности детских лагерей на время каникул - один раз перед началом каникул и далее один раз во время каникул.</w:t>
      </w:r>
    </w:p>
    <w:p>
      <w:pPr>
        <w:spacing w:after="58"/>
      </w:pP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(надзоре)», п. 36 «б».</w:t>
      </w:r>
    </w:p>
    <w:p>
      <w:pPr>
        <w:spacing w:after="58"/>
      </w:pPr>
      <w:hyperlink r:id="rId66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6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Объекты контроля «…» относятся к следующим категориям риска в зависимости от показателя потенциального риска причинения вреда здоровью «…»:</w:t>
      </w:r>
    </w:p>
    <w:p>
      <w:pPr>
        <w:spacing w:after="58"/>
      </w:pPr>
      <w:r>
        <w:rPr>
          <w:b w:val="0"/>
          <w:i w:val="0"/>
        </w:rPr>
        <w:t>в случае, если показатель потенциального риска причинения вреда здоровью составляет более 1х10</w:t>
      </w:r>
      <w:r>
        <w:rPr>
          <w:b w:val="0"/>
          <w:i w:val="0"/>
          <w:vertAlign w:val="superscript"/>
        </w:rPr>
        <w:t>-3</w:t>
      </w:r>
      <w:r>
        <w:rPr>
          <w:b w:val="0"/>
          <w:i w:val="0"/>
        </w:rPr>
        <w:t>- чрезвычайно высокий риск «…»</w:t>
      </w:r>
    </w:p>
    <w:p>
      <w:pPr>
        <w:spacing w:after="58"/>
      </w:pPr>
      <w:r>
        <w:rPr>
          <w:b w:val="0"/>
          <w:i w:val="0"/>
        </w:rPr>
        <w:t>Положение «О федеральном государственном санитарно-эпидемиологическом контроле (надзоре)» от 30 июня 2021 г. № 1100, п.1 Приложения №1</w:t>
      </w:r>
    </w:p>
    <w:p>
      <w:pPr>
        <w:spacing w:after="58"/>
      </w:pPr>
      <w:hyperlink r:id="rId66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6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Объекты контроля «…» относятся к следующим категориям риска в зависимости от показателя потенциального риска причинения вреда здоровью «…»:</w:t>
      </w:r>
    </w:p>
    <w:p>
      <w:pPr>
        <w:spacing w:after="58"/>
      </w:pPr>
      <w:r>
        <w:rPr>
          <w:b w:val="0"/>
          <w:i w:val="0"/>
        </w:rPr>
        <w:t>в случае, если показатель потенциального риска причинения вреда здоровью составляет более 1х10</w:t>
      </w:r>
      <w:r>
        <w:rPr>
          <w:b w:val="0"/>
          <w:i w:val="0"/>
          <w:vertAlign w:val="superscript"/>
        </w:rPr>
        <w:t>-3</w:t>
      </w:r>
      <w:r>
        <w:rPr>
          <w:b w:val="0"/>
          <w:i w:val="0"/>
        </w:rPr>
        <w:t>- чрезвычайно высокий риск «…»</w:t>
      </w:r>
    </w:p>
    <w:p>
      <w:pPr>
        <w:spacing w:after="58"/>
      </w:pPr>
      <w:r>
        <w:rPr>
          <w:b w:val="0"/>
          <w:i w:val="0"/>
        </w:rPr>
        <w:t>Положение «О федеральном государственном санитарно-эпидемиологическом контроле (надзоре)» от 30 июня 2021 г. № 1100, п.1 Приложения №1</w:t>
      </w:r>
    </w:p>
    <w:p>
      <w:pPr>
        <w:spacing w:after="58"/>
      </w:pPr>
      <w:hyperlink r:id="rId66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6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подготовительной работе перед началом плановых контрольных (надзорных) мероприятий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2" name="Picture 6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отправку уведомления о начале контрольного (надзорного)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отправку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3" name="Picture 6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информации о плане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4" name="Picture 6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согласование плана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5" name="Picture 6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контрольных (надзорных) мероприятий в соответствии с риск-ориентированным подходом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6" name="Picture 6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принятие решения о проведении контрольного (надзорного) мероприятия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отправку уведомления о начале контрольного (надзорного) мероприятия</w:t>
      </w:r>
      <w:r>
        <w:br/>
      </w:r>
      <w:r>
        <w:rPr>
          <w:b/>
          <w:i w:val="0"/>
        </w:rPr>
        <w:t>3 - размещение информации о плане контрольных (надзорных) мероприятий</w:t>
      </w:r>
      <w:r>
        <w:br/>
      </w:r>
      <w:r>
        <w:rPr>
          <w:b/>
          <w:i w:val="0"/>
        </w:rPr>
        <w:t>4 - согласование плана контрольных (надзорных) мероприятий</w:t>
      </w:r>
      <w:r>
        <w:br/>
      </w:r>
      <w:r>
        <w:rPr>
          <w:b/>
          <w:i w:val="0"/>
        </w:rPr>
        <w:t>5 - планирование контрольных (надзорных) мероприятий в соответствии с риск-ориентированным подходом</w:t>
      </w:r>
      <w:r>
        <w:br/>
      </w:r>
      <w:r>
        <w:rPr>
          <w:b/>
          <w:i w:val="0"/>
        </w:rPr>
        <w:t>6 - принятие решения о проведении контрольного (надзорного) мероприятия</w:t>
      </w:r>
    </w:p>
    <w:p>
      <w:pPr>
        <w:spacing w:after="58"/>
      </w:pPr>
      <w:r>
        <w:rPr>
          <w:b w:val="0"/>
          <w:i w:val="0"/>
        </w:rPr>
        <w:t>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п.4, ст. 21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информационного обеспечения государственного контроля (надзора), муниципального контроля создаются:</w:t>
      </w:r>
    </w:p>
    <w:p>
      <w:pPr>
        <w:spacing w:after="58"/>
      </w:pPr>
      <w:r>
        <w:rPr>
          <w:b w:val="0"/>
          <w:i w:val="0"/>
        </w:rPr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</w:r>
    </w:p>
    <w:p>
      <w:pPr>
        <w:spacing w:after="58"/>
      </w:pPr>
      <w:r>
        <w:rPr>
          <w:b w:val="0"/>
          <w:i w:val="0"/>
        </w:rPr>
        <w:t>2) единый реестр контрольных (надзорных) мероприятий «…»</w:t>
      </w:r>
    </w:p>
    <w:p>
      <w:pPr>
        <w:spacing w:after="58"/>
      </w:pPr>
      <w:r>
        <w:rPr>
          <w:b w:val="0"/>
          <w:i w:val="0"/>
        </w:rPr>
        <w:t>Проведение контрольных (надзорных) мероприятий, информация о которых на момент начала их проведения в едином реестре контрольных (надзорных) мероприятий отсутствует, не допускается.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п.1, ст. 17; п. 4, ст. 19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6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п.1, ст. 61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Государственный контроль (надзор),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п.1, ст. 22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 «..»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п.1, ст. 64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основным законодательным и нормативным документам, используемым в ходе осуществления контрольного (надзорного) мероприятия в организации труда и отдыха детей,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 ТС 025/2012 «О безопасности мебельной продукции»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7" name="Picture 6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8" name="Picture 6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«О санитарно-эпидемиологическом благополучии населения» от 30.03.1999 № 52-ФЗ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9" name="Picture 6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0" name="Picture 7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1" name="Picture 7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>
        <w:br/>
      </w:r>
      <w:r>
        <w:rPr>
          <w:b/>
          <w:i w:val="0"/>
        </w:rPr>
        <w:t>3 - Федеральный закон «О санитарно-эпидемиологическом благополучии населения» от 30.03.1999 № 52-ФЗ</w:t>
      </w:r>
      <w:r>
        <w:br/>
      </w:r>
      <w:r>
        <w:rPr>
          <w:b/>
          <w:i w:val="0"/>
        </w:rPr>
        <w:t>4 -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br/>
      </w:r>
      <w:r>
        <w:rPr>
          <w:b/>
          <w:i w:val="0"/>
        </w:rPr>
        <w:t>5 - Постановление Правительства РФ от 30 июня 2021 г. № 1100 «О федеральном государственном санитарно-эпидемиологическом контроле (надзоре)»</w:t>
      </w:r>
      <w:r>
        <w:br/>
      </w:r>
      <w:r>
        <w:rPr>
          <w:b/>
          <w:i w:val="0"/>
        </w:rPr>
        <w:t>6 - 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spacing w:after="58"/>
      </w:pPr>
      <w:r>
        <w:rPr>
          <w:b w:val="0"/>
          <w:i w:val="0"/>
        </w:rPr>
        <w:t>В соответствии с главой VI «Гигиенические нормативы по устройству, содержанию и режиму работы организаций воспитания и обучения, отдыха и оздоровления детей и молодежи» СанПиН 1.2.3685-21 «Гигиенические нормативы и требования к обеспечению безопасности и (или) безвредности для человека факторов среды обитания», стр.369-397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с.369-397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7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Предметом государственного контроля (надзора) являются: «…»</w:t>
      </w:r>
    </w:p>
    <w:p>
      <w:pPr>
        <w:spacing w:after="58"/>
      </w:pPr>
      <w:r>
        <w:rPr>
          <w:b w:val="0"/>
          <w:i w:val="0"/>
        </w:rPr>
        <w:t>соблюдение иных обязательных требований в области санитарно-эпидемиологического благополучия населения, установленных Федеральным законом «О санитарно-эпидемиологическом благополучии населения» «…»</w:t>
      </w:r>
    </w:p>
    <w:p>
      <w:pPr>
        <w:spacing w:after="58"/>
      </w:pP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(надзоре)», п.3</w:t>
      </w:r>
    </w:p>
    <w:p>
      <w:pPr>
        <w:spacing w:after="58"/>
      </w:pPr>
      <w:hyperlink r:id="rId66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7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Настоящие санитарные правила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деятельности* *«…», включая требования к «…» отдыху и оздоровлению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п.1.1.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7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Настоящее Положение устанавливает порядок организации и осуществления федерального государственного санитарно-эпидемиологического контроля (надзора).</w:t>
      </w:r>
    </w:p>
    <w:p>
      <w:pPr>
        <w:spacing w:after="58"/>
      </w:pP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(надзоре)», п. 1</w:t>
      </w:r>
    </w:p>
    <w:p>
      <w:pPr>
        <w:spacing w:after="58"/>
      </w:pPr>
      <w:hyperlink r:id="rId66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7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Под государственным контролем (надзором), муниципальным контролем в Российской Федерации (далее - государственный контроль (надзор), муниципальный контроль) в целях настоящего Федерального закона понимается деятельность контрольных (надзорных)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 Статья 1, п.1</w:t>
      </w:r>
    </w:p>
    <w:p>
      <w:pPr>
        <w:spacing w:after="58"/>
      </w:pPr>
      <w:r>
        <w:rPr>
          <w:b w:val="0"/>
          <w:i w:val="0"/>
        </w:rPr>
        <w:t>Федеральный закон «О государственном контроле (надзоре) и муниципальном контроле в Российской Федерации» от 31.07.2020 N 248-ФЗ, п.1, ст.1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7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сведениям, предоставляемым администрацией организации труда и отдыха в территориальные органы государственного санитарно-эпидемиологического надзора не позднее, чем за месяц до открытия каждого сезона,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сроки проведения культурно-массовых мероприятий в течение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2" name="Picture 7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режим работы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3" name="Picture 7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планируемые сроки заездов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график проведения родительских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4" name="Picture 7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5" name="Picture 7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сроки проведения противоклещевой обработки территории и мероприятий по борьбе с грызунами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режим работы организации</w:t>
      </w:r>
      <w:r>
        <w:br/>
      </w:r>
      <w:r>
        <w:rPr>
          <w:b/>
          <w:i w:val="0"/>
        </w:rPr>
        <w:t>3 - планируемые сроки заездов детей</w:t>
      </w:r>
      <w:r>
        <w:br/>
      </w:r>
      <w:r>
        <w:rPr>
          <w:b/>
          <w:i w:val="0"/>
        </w:rPr>
        <w:t>5 - количество детей</w:t>
      </w:r>
      <w:r>
        <w:br/>
      </w:r>
      <w:r>
        <w:rPr>
          <w:b/>
          <w:i w:val="0"/>
        </w:rPr>
        <w:t>6 - сроки проведения противоклещевой обработки территории и мероприятий по борьбе с грызунами</w:t>
      </w:r>
    </w:p>
    <w:p>
      <w:pPr>
        <w:spacing w:after="58"/>
      </w:pPr>
      <w:r>
        <w:rPr>
          <w:b w:val="0"/>
          <w:i w:val="0"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7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7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7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профилактики клещевого энцефалита, клещевого боррелиоза и геморрагической лихорадки с почечным синдромом и других инфекционных болезней перед открытием смены необходимо организовать и провести противоклещевую (акарицидную)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7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требованиям, предъявляемым к организации различных видов работ детей и подростков на открытых площадках,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6" name="Picture 7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запрет на выполнение трудовых работ детьми после 20:00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7" name="Picture 7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обязательный осмотр на предмет присасывания клеща после возвращения с трудовых работ, выполняемых за пределами территории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осмотр детей на предмет присасывания клеща 1 раз в три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8" name="Picture 7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работ детьми и подростками только в головных уборах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9" name="Picture 7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работ в часы наименьшей инсоляции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выполнение работ в послеобеденное время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запрет на выполнение трудовых работ детьми после 20:00 часов</w:t>
      </w:r>
      <w:r>
        <w:br/>
      </w:r>
      <w:r>
        <w:rPr>
          <w:b/>
          <w:i w:val="0"/>
        </w:rPr>
        <w:t>2 - обязательный осмотр на предмет присасывания клеща после возвращения с трудовых работ, выполняемых за пределами территории организации</w:t>
      </w:r>
      <w:r>
        <w:br/>
      </w:r>
      <w:r>
        <w:rPr>
          <w:b/>
          <w:i w:val="0"/>
        </w:rPr>
        <w:t>4 - выполнение работ детьми и подростками только в головных уборах</w:t>
      </w:r>
      <w:r>
        <w:br/>
      </w:r>
      <w:r>
        <w:rPr>
          <w:b/>
          <w:i w:val="0"/>
        </w:rPr>
        <w:t>5 - выполнение работ в часы наименьшей инсоляции</w:t>
      </w:r>
    </w:p>
    <w:p>
      <w:pPr>
        <w:spacing w:after="58"/>
      </w:pPr>
      <w:r>
        <w:rPr>
          <w:b w:val="0"/>
          <w:i w:val="0"/>
        </w:rPr>
        <w:t>Запрещается труд детей после 20:00 часов.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3.14.1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7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3.11.10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7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Дети должны работать в головных уборах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3.14.1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7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3.14.1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8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основании анализа результатов исследования питьевой воды 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0" name="Picture 8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содержания железа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1" name="Picture 8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общего микробного числа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показателя общей минерализации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2" name="Picture 8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показателя цветности и мутности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превышение содержания фторидов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снижение перманганатной окисляемости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превышение содержания железа</w:t>
      </w:r>
      <w:r>
        <w:br/>
      </w:r>
      <w:r>
        <w:rPr>
          <w:b/>
          <w:i w:val="0"/>
        </w:rPr>
        <w:t>2 - превышение общего микробного числа</w:t>
      </w:r>
      <w:r>
        <w:br/>
      </w:r>
      <w:r>
        <w:rPr>
          <w:b/>
          <w:i w:val="0"/>
        </w:rPr>
        <w:t>4 - превышение показателя цветности и мутности</w:t>
      </w:r>
    </w:p>
    <w:p>
      <w:pPr>
        <w:spacing w:after="58"/>
      </w:pPr>
      <w:r>
        <w:rPr>
          <w:b w:val="0"/>
          <w:i w:val="0"/>
        </w:rPr>
        <w:t>В соответствии с таблицей 3.13 «Предельно допустимые концентрации (ПДК) химических веществ воде питьевой систем централизованного….водоснабжения…»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ПДК железа может составлять не более 0,3 мг/л.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3.13, ч. III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3.5 «Санитарно-микробиологические и паразитологические показатели безопасности воды систем централизованного питьевого водоснабжения, в том числе горячего водоснабжения»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общее микробное число может составлять не более 50 КОЕ/см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3.5, ч. III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3.1 «Органолептические показатели качества различных видов вод, кроме технической воды»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показатель цветности может составлять не более 20 град., показатель мутности – не более 2,6 ЕМФ (по формазину).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3.1, ч. III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и необходимым действиям в данной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3" name="Picture 8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дополнительных показателей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4" name="Picture 8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энтерококков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5" name="Picture 8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обобщенных колиморфных бактерий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_Legionella pneumophila_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показателя _Candida albicans_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6" name="Picture 8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цист патогенных простейших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определение дополнительных показателей</w:t>
      </w:r>
      <w:r>
        <w:br/>
      </w:r>
      <w:r>
        <w:rPr>
          <w:b/>
          <w:i w:val="0"/>
        </w:rPr>
        <w:t>2 - наличие в пробе воды энтерококков</w:t>
      </w:r>
      <w:r>
        <w:br/>
      </w:r>
      <w:r>
        <w:rPr>
          <w:b/>
          <w:i w:val="0"/>
        </w:rPr>
        <w:t>3 - наличие в пробе воды обобщенных колиморфных бактерий</w:t>
      </w:r>
      <w:r>
        <w:br/>
      </w:r>
      <w:r>
        <w:rPr>
          <w:b/>
          <w:i w:val="0"/>
        </w:rPr>
        <w:t>6 - наличие в пробе воды цист патогенных простейших</w:t>
      </w:r>
    </w:p>
    <w:p>
      <w:pPr>
        <w:spacing w:after="58"/>
      </w:pPr>
      <w:r>
        <w:rPr>
          <w:b w:val="0"/>
          <w:i w:val="0"/>
        </w:rPr>
        <w:t>Дополнительные показатели возбудителей кишечных инфекций бактериальной и вирусной природы определяются в случае превышения допустимых уровней загрязнения одного или более основных показателей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п. 17, ч. III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энтерококки в пробе воды должны отсутствовать.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обобщенные колиморфные бактерии в пробе воды должны отсутствовать.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цисты патогенных простейших в пробе воды должны отсутствовать.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7" name="Picture 8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трудовой деятельности в часы высокой инсоляции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8" name="Picture 8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четкого зонирования территории лагеря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9" name="Picture 8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труда детей не менее 3-х часов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пребывание детей 12-14 лет в организации труда и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проведение утренней зарядки более 15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0" name="Picture 9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недостаточную продолжительность ночного сна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проведение трудовой деятельности в часы высокой инсоляции</w:t>
      </w:r>
      <w:r>
        <w:br/>
      </w:r>
      <w:r>
        <w:rPr>
          <w:b/>
          <w:i w:val="0"/>
        </w:rPr>
        <w:t>2 - отсутствие четкого зонирования территории лагеря</w:t>
      </w:r>
      <w:r>
        <w:br/>
      </w:r>
      <w:r>
        <w:rPr>
          <w:b/>
          <w:i w:val="0"/>
        </w:rPr>
        <w:t>3 - продолжительность труда детей не менее 3-х часов в день</w:t>
      </w:r>
      <w:r>
        <w:br/>
      </w:r>
      <w:r>
        <w:rPr>
          <w:b/>
          <w:i w:val="0"/>
        </w:rPr>
        <w:t>6 - недостаточную продолжительность ночного сна</w:t>
      </w:r>
    </w:p>
    <w:p>
      <w:pPr>
        <w:spacing w:after="58"/>
      </w:pPr>
      <w:r>
        <w:rPr>
          <w:b w:val="0"/>
          <w:i w:val="0"/>
        </w:rPr>
        <w:t>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3.14.1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8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 собственной территории выделяют следующие зоны: жилая, физкультурно-оздоровительная, хозяйственная «..»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3.11.3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8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6.7.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труда детей 12-13 лет должна составлять не более 2,0 ч в день, для детей 14-15 лет – не более 2,5 ч в день.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6.7.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ночного сна для детей в возрасте 11-14 лет должна составлять не менее 9,0 час.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требованиям санитарного законодательства, обязательным для исполнения сотрудниками организации труда и отдыха детей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1" name="Picture 9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2" name="Picture 9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ежедневный осмотр после окончания работы персонала организации труда и отдыха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3" name="Picture 9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личной медицинской книжки у работника организации труда и отдыха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4" name="Picture 9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обязательную гигиеническую подготовку и аттестацию персонала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вакцинацию каждого работника в соответствии с национальным календарем профилактических прививок</w:t>
      </w:r>
      <w:r>
        <w:br/>
      </w:r>
      <w:r>
        <w:rPr>
          <w:b/>
          <w:i w:val="0"/>
        </w:rPr>
        <w:t>2 - предварительный и периодические медицинские осмотры при поступлении на работу в установленном порядке</w:t>
      </w:r>
      <w:r>
        <w:br/>
      </w:r>
      <w:r>
        <w:rPr>
          <w:b/>
          <w:i w:val="0"/>
        </w:rPr>
        <w:t>4 - наличие личной медицинской книжки у работника организации труда и отдыха детей</w:t>
      </w:r>
      <w:r>
        <w:br/>
      </w:r>
      <w:r>
        <w:rPr>
          <w:b/>
          <w:i w:val="0"/>
        </w:rPr>
        <w:t>6 - обязательную гигиеническую подготовку и аттестацию персонала</w:t>
      </w:r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основным требованиям, предъявляемым к размещению и оборудованию изолятора медицинского пункта организации труда и отдыха детей,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5" name="Picture 9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туалета с раковиной для мытья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6" name="Picture 9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не менее двух палат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отдельного поста медицинской сестры изолятора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7" name="Picture 9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буфетной с двумя моечными раковинами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8" name="Picture 9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ванной комнаты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9" name="Picture 9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шкафов для хранения посуды в буфетной изолятора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наличие туалета с раковиной для мытья рук</w:t>
      </w:r>
      <w:r>
        <w:br/>
      </w:r>
      <w:r>
        <w:rPr>
          <w:b/>
          <w:i w:val="0"/>
        </w:rPr>
        <w:t>2 - наличие не менее двух палат</w:t>
      </w:r>
      <w:r>
        <w:br/>
      </w:r>
      <w:r>
        <w:rPr>
          <w:b/>
          <w:i w:val="0"/>
        </w:rPr>
        <w:t>4 - наличие буфетной с двумя моечными раковинами</w:t>
      </w:r>
      <w:r>
        <w:br/>
      </w:r>
      <w:r>
        <w:rPr>
          <w:b/>
          <w:i w:val="0"/>
        </w:rPr>
        <w:t>5 - оборудование ванной комнаты</w:t>
      </w:r>
      <w:r>
        <w:br/>
      </w:r>
      <w:r>
        <w:rPr>
          <w:b/>
          <w:i w:val="0"/>
        </w:rPr>
        <w:t>6 - наличие шкафов для хранения посуды в буфетной изолятора</w:t>
      </w:r>
    </w:p>
    <w:p>
      <w:pPr>
        <w:spacing w:after="58"/>
      </w:pPr>
      <w:r>
        <w:rPr>
          <w:b w:val="0"/>
          <w:i w:val="0"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8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изоляторе медицинского пункта предусматриваются не менее двух палат (раздельно для капельных и кишечных инфекций) «..»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8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8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Возможно оборудование в медицинском пункте или в изоляторе душевой (ванной комнаты).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8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8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основным нормируемым показателям тяжести трудового процесса для детей и подростков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0" name="Picture 10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массу перемещаемого груза вручную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1" name="Picture 10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величину статической нагрузки за 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2" name="Picture 10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физическую динамическую нагрузку за 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3" name="Picture 10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стереотипные рабочие 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сочетание статической и динамической нагрузки за рабочий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размер перемещаемого груза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массу перемещаемого груза вручную</w:t>
      </w:r>
      <w:r>
        <w:br/>
      </w:r>
      <w:r>
        <w:rPr>
          <w:b/>
          <w:i w:val="0"/>
        </w:rPr>
        <w:t>2 - величину статической нагрузки за смену</w:t>
      </w:r>
      <w:r>
        <w:br/>
      </w:r>
      <w:r>
        <w:rPr>
          <w:b/>
          <w:i w:val="0"/>
        </w:rPr>
        <w:t>3 - физическую динамическую нагрузку за смену</w:t>
      </w:r>
      <w:r>
        <w:br/>
      </w:r>
      <w:r>
        <w:rPr>
          <w:b/>
          <w:i w:val="0"/>
        </w:rPr>
        <w:t>4 - стереотипные рабочие движения</w:t>
      </w:r>
    </w:p>
    <w:p>
      <w:pPr>
        <w:spacing w:after="58"/>
      </w:pPr>
      <w:r>
        <w:rPr>
          <w:b w:val="0"/>
          <w:i w:val="0"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массу перемещаемого груза вручную.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6.16,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9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величину статической нагрузки за смену.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физическую динамическую нагрузку за смену.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6.16,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9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стереотипные рабочие движения.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8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Порядок оформления результатов контрольного (надзорного) мероприятия по обследованию организации труда и отдыха детей и подростков предусматривает,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оформляется акт административного расследования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4" name="Picture 10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направляется акт контрольного (надзорного) мероприятия в органы прокуратуры посредством единого реестра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5" name="Picture 10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оформление акта производится на месте проведения контрольного (надзорного) мероприятия, в день его окончания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6" name="Picture 10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материалы, являющиеся доказательствами выявленных нарушений, должны быть приобщены к акту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7" name="Picture 10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выявлении нарушений обязательных требований – в акте указывается какое именно требование нарушено и каким нормативным правовым актом оно установлено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8" name="Picture 10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окончании проведения контрольного (надзорного) мероприятия составляется акт контрольного (надзорного) мероприятия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направляется акт контрольного (надзорного) мероприятия в органы прокуратуры посредством единого реестра контрольных (надзорных) мероприятий</w:t>
      </w:r>
      <w:r>
        <w:br/>
      </w:r>
      <w:r>
        <w:rPr>
          <w:b/>
          <w:i w:val="0"/>
        </w:rPr>
        <w:t>3 - оформление акта производится на месте проведения контрольного (надзорного) мероприятия, в день его окончания</w:t>
      </w:r>
      <w:r>
        <w:br/>
      </w:r>
      <w:r>
        <w:rPr>
          <w:b/>
          <w:i w:val="0"/>
        </w:rPr>
        <w:t>4 - материалы, являющиеся доказательствами выявленных нарушений, должны быть приобщены к акту</w:t>
      </w:r>
      <w:r>
        <w:br/>
      </w:r>
      <w:r>
        <w:rPr>
          <w:b/>
          <w:i w:val="0"/>
        </w:rPr>
        <w:t>5 - при выявлении нарушений обязательных требований – в акте указывается какое именно требование нарушено и каким нормативным правовым актом оно установлено</w:t>
      </w:r>
      <w:r>
        <w:br/>
      </w:r>
      <w:r>
        <w:rPr>
          <w:b/>
          <w:i w:val="0"/>
        </w:rPr>
        <w:t>6 - по окончании проведения контрольного (надзорного) мероприятия составляется акт контрольного (надзорного) мероприятия</w:t>
      </w:r>
    </w:p>
    <w:p>
      <w:pPr>
        <w:spacing w:after="58"/>
      </w:pPr>
      <w:r>
        <w:rPr>
          <w:b w:val="0"/>
          <w:i w:val="0"/>
        </w:rPr>
        <w:t>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5 ст. 87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9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3 ст. 87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9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(надзорного) мероприятия проверочные листы должны быть приобщены к акту.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2 ст. 87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9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2 ст. 87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9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2 ст. 87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93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детей и подростков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fzN248/" TargetMode="External"/><Relationship Id="rId25" Type="http://schemas.openxmlformats.org/officeDocument/2006/relationships/hyperlink" Target="https://library.mededtech.ru/rest/documents/fzN248/#list_item_2n81d7" TargetMode="External"/><Relationship Id="rId26" Type="http://schemas.openxmlformats.org/officeDocument/2006/relationships/hyperlink" Target="https://library.mededtech.ru/rest/documents/fzN248/#list_item_q8o1t8" TargetMode="External"/><Relationship Id="rId27" Type="http://schemas.openxmlformats.org/officeDocument/2006/relationships/hyperlink" Target="https://library.mededtech.ru/rest/documents/fzN248/#list_item_64q534" TargetMode="External"/><Relationship Id="rId28" Type="http://schemas.openxmlformats.org/officeDocument/2006/relationships/hyperlink" Target="https://library.mededtech.ru/rest/documents/fzN248/#list_item_54kkic" TargetMode="External"/><Relationship Id="rId29" Type="http://schemas.openxmlformats.org/officeDocument/2006/relationships/hyperlink" Target="https://library.mededtech.ru/rest/documents/fzN248/#list_item_fmu2vo" TargetMode="External"/><Relationship Id="rId30" Type="http://schemas.openxmlformats.org/officeDocument/2006/relationships/hyperlink" Target="https://library.mededtech.ru/rest/documents/fzN248/#list_item_c193qk" TargetMode="External"/><Relationship Id="rId31" Type="http://schemas.openxmlformats.org/officeDocument/2006/relationships/hyperlink" Target="https://library.mededtech.ru/rest/documents/sp2.4.3648_20/" TargetMode="External"/><Relationship Id="rId32" Type="http://schemas.openxmlformats.org/officeDocument/2006/relationships/hyperlink" Target="https://library.mededtech.ru/rest/documents/sp2.4.3648_20/#list_item_qp2487" TargetMode="External"/><Relationship Id="rId33" Type="http://schemas.openxmlformats.org/officeDocument/2006/relationships/image" Target="media/image9.png"/><Relationship Id="rId34" Type="http://schemas.openxmlformats.org/officeDocument/2006/relationships/hyperlink" Target="https://library.mededtech.ru/rest/documents/sp2.4.3648_20/#list_item_j626uf" TargetMode="External"/><Relationship Id="rId35" Type="http://schemas.openxmlformats.org/officeDocument/2006/relationships/hyperlink" Target="https://library.mededtech.ru/rest/documents/sp2.4.3648_20/#list_item_a8jdft" TargetMode="External"/><Relationship Id="rId36" Type="http://schemas.openxmlformats.org/officeDocument/2006/relationships/hyperlink" Target="https://library.mededtech.ru/rest/documents/sp2.4.3648_20/#list_item_4oou5c" TargetMode="External"/><Relationship Id="rId37" Type="http://schemas.openxmlformats.org/officeDocument/2006/relationships/hyperlink" Target="https://library.mededtech.ru/rest/documents/sp2.4.3648_20/#list_item_i17m52" TargetMode="External"/><Relationship Id="rId38" Type="http://schemas.openxmlformats.org/officeDocument/2006/relationships/hyperlink" Target="https://library.mededtech.ru/rest/documents/sp2.4.3648_20/#list_item_86jgom" TargetMode="External"/><Relationship Id="rId39" Type="http://schemas.openxmlformats.org/officeDocument/2006/relationships/hyperlink" Target="https://library.mededtech.ru/rest/documents/sp1.2.3685-21/" TargetMode="External"/><Relationship Id="rId40" Type="http://schemas.openxmlformats.org/officeDocument/2006/relationships/hyperlink" Target="https://library.mededtech.ru/rest/documents/sp1.2.3685-21/#tab6_8" TargetMode="External"/><Relationship Id="rId41" Type="http://schemas.openxmlformats.org/officeDocument/2006/relationships/hyperlink" Target="https://library.mededtech.ru/rest/documents/sp2.4.3648_20/#list_item_e7mn4b" TargetMode="External"/><Relationship Id="rId42" Type="http://schemas.openxmlformats.org/officeDocument/2006/relationships/hyperlink" Target="https://library.mededtech.ru/rest/documents/sp1.2.3685-21/#list_item_g30ipc" TargetMode="External"/><Relationship Id="rId43" Type="http://schemas.openxmlformats.org/officeDocument/2006/relationships/hyperlink" Target="https://library.mededtech.ru/rest/documents/sp2.4.3648_20/#list_item_imd9qn" TargetMode="External"/><Relationship Id="rId44" Type="http://schemas.openxmlformats.org/officeDocument/2006/relationships/hyperlink" Target="https://library.mededtech.ru/rest/documents/sp2.4.3648_20/#list_item_rbubs1" TargetMode="External"/><Relationship Id="rId45" Type="http://schemas.openxmlformats.org/officeDocument/2006/relationships/hyperlink" Target="https://library.mededtech.ru/rest/documents/sp2.4.3648_20/#list_item_74464b" TargetMode="External"/><Relationship Id="rId46" Type="http://schemas.openxmlformats.org/officeDocument/2006/relationships/hyperlink" Target="https://library.mededtech.ru/rest/documents/TP_TC_008_2011/" TargetMode="External"/><Relationship Id="rId47" Type="http://schemas.openxmlformats.org/officeDocument/2006/relationships/hyperlink" Target="https://library.mededtech.ru/rest/documents/TP_TC_008_2011/#list_item_sstmgb" TargetMode="External"/><Relationship Id="rId48" Type="http://schemas.openxmlformats.org/officeDocument/2006/relationships/hyperlink" Target="https://library.mededtech.ru/rest/documents/TP_TC_008_2011/#list_item_ha07is" TargetMode="External"/><Relationship Id="rId49" Type="http://schemas.openxmlformats.org/officeDocument/2006/relationships/hyperlink" Target="https://library.mededtech.ru/rest/documents/sp2.4.3648_20/#list_item_9t3be7" TargetMode="External"/><Relationship Id="rId50" Type="http://schemas.openxmlformats.org/officeDocument/2006/relationships/hyperlink" Target="https://library.mededtech.ru/rest/documents/sp2.4.3648_20/#list_item_dr6t1v" TargetMode="External"/><Relationship Id="rId51" Type="http://schemas.openxmlformats.org/officeDocument/2006/relationships/hyperlink" Target="https://library.mededtech.ru/rest/documents/sp2.4.3648_20/#list_item_749shk" TargetMode="External"/><Relationship Id="rId52" Type="http://schemas.openxmlformats.org/officeDocument/2006/relationships/hyperlink" Target="https://library.mededtech.ru/rest/documents/sp2.4.3648_20/#list_item_i30laa" TargetMode="External"/><Relationship Id="rId53" Type="http://schemas.openxmlformats.org/officeDocument/2006/relationships/hyperlink" Target="https://library.mededtech.ru/rest/documents/sp1.2.3685-21/#tab6_6" TargetMode="External"/><Relationship Id="rId54" Type="http://schemas.openxmlformats.org/officeDocument/2006/relationships/hyperlink" Target="https://library.mededtech.ru/rest/documents/sp2.4.3648_20/#list_item_n4ei9d" TargetMode="External"/><Relationship Id="rId55" Type="http://schemas.openxmlformats.org/officeDocument/2006/relationships/hyperlink" Target="https://library.mededtech.ru/rest/documents/sp2.4.3648_20/#list_item_n7a362" TargetMode="External"/><Relationship Id="rId56" Type="http://schemas.openxmlformats.org/officeDocument/2006/relationships/hyperlink" Target="https://library.mededtech.ru/rest/documents/sp2.4.3648_20/#list_item_rrv0q5" TargetMode="External"/><Relationship Id="rId57" Type="http://schemas.openxmlformats.org/officeDocument/2006/relationships/hyperlink" Target="https://library.mededtech.ru/rest/documents/sp2.4.3648_20/#list_item_lafnk1" TargetMode="External"/><Relationship Id="rId58" Type="http://schemas.openxmlformats.org/officeDocument/2006/relationships/hyperlink" Target="https://library.mededtech.ru/rest/documents/sp2.4.3648_20/#list_item_qftn54" TargetMode="External"/><Relationship Id="rId59" Type="http://schemas.openxmlformats.org/officeDocument/2006/relationships/hyperlink" Target="https://library.mededtech.ru/rest/documents/sp2.4.3648_20/#list_item_e34ht4" TargetMode="External"/><Relationship Id="rId60" Type="http://schemas.openxmlformats.org/officeDocument/2006/relationships/hyperlink" Target="https://library.mededtech.ru/rest/documents/sp2.4.3648_20/#list_item_b25902" TargetMode="External"/><Relationship Id="rId61" Type="http://schemas.openxmlformats.org/officeDocument/2006/relationships/hyperlink" Target="https://library.mededtech.ru/rest/documents/sp2.4.3648_20/#list_item_3d16rj" TargetMode="External"/><Relationship Id="rId62" Type="http://schemas.openxmlformats.org/officeDocument/2006/relationships/hyperlink" Target="https://library.mededtech.ru/rest/documents/sp2.4.3648_20/#list_item_f3k4kb" TargetMode="External"/><Relationship Id="rId63" Type="http://schemas.openxmlformats.org/officeDocument/2006/relationships/hyperlink" Target="https://library.mededtech.ru/rest/documents/sp2.4.3648_20/#paragraph_27il16" TargetMode="External"/><Relationship Id="rId64" Type="http://schemas.openxmlformats.org/officeDocument/2006/relationships/hyperlink" Target="https://library.mededtech.ru/rest/documents/fzN248/#list_item_lb2dva" TargetMode="External"/><Relationship Id="rId65" Type="http://schemas.openxmlformats.org/officeDocument/2006/relationships/hyperlink" Target="https://library.mededtech.ru/rest/documents/fzN248/#list_item_pthprd" TargetMode="External"/><Relationship Id="rId66" Type="http://schemas.openxmlformats.org/officeDocument/2006/relationships/hyperlink" Target="https://library.mededtech.ru/rest/documents/post1100/" TargetMode="External"/><Relationship Id="rId67" Type="http://schemas.openxmlformats.org/officeDocument/2006/relationships/hyperlink" Target="https://library.mededtech.ru/rest/documents/post1100/#list_item_2g7ofs" TargetMode="External"/><Relationship Id="rId68" Type="http://schemas.openxmlformats.org/officeDocument/2006/relationships/hyperlink" Target="https://library.mededtech.ru/rest/documents/post1100/#table_162id5" TargetMode="External"/><Relationship Id="rId69" Type="http://schemas.openxmlformats.org/officeDocument/2006/relationships/hyperlink" Target="https://library.mededtech.ru/rest/documents/fzN248/#list_item_t0blsu" TargetMode="External"/><Relationship Id="rId70" Type="http://schemas.openxmlformats.org/officeDocument/2006/relationships/hyperlink" Target="https://library.mededtech.ru/rest/documents/sp1.2.3685-21/#vi_&#1043;&#1080;&#1075;&#1080;&#1077;&#1085;&#1080;&#1095;&#1077;&#1089;&#1082;&#1080;&#1077;_&#1085;&#1086;&#1088;&#1084;&#1072;&#1090;&#1080;&#1074;&#1099;_&#1087;&#1086;_&#1091;&#1089;&#1090;&#1088;&#1086;&#1081;&#1089;&#1090;&#1074;&#1091;_&#1089;&#1086;&#1076;&#1077;&#1088;&#1078;&#1072;&#1085;&#1080;&#1102;_&#1080;_&#1088;&#1077;&#1078;&#1080;&#1084;&#1091;_&#1088;&#1072;&#1073;&#1086;&#1090;&#1099;_&#1086;&#1088;&#1075;&#1072;&#1085;&#1080;&#1079;&#1072;&#1094;&#1080;&#1081;_&#1074;&#1086;&#1089;&#1087;&#1080;&#1090;&#1072;&#1085;&#1080;&#1103;_&#1080;_&#1086;&#1073;&#1091;&#1095;&#1077;&#1085;&#1080;&#1103;_&#1086;&#1090;&#1076;&#1099;&#1093;&#1072;_&#1080;_&#1086;&#1079;&#1076;&#1086;&#1088;&#1086;&#1074;&#1083;&#1077;&#1085;&#1080;&#1103;_&#1076;&#1077;&#1090;&#1077;&#1081;_&#1080;_&#1084;&#1086;&#1083;&#1086;&#1076;&#1077;&#1078;&#1080;" TargetMode="External"/><Relationship Id="rId71" Type="http://schemas.openxmlformats.org/officeDocument/2006/relationships/hyperlink" Target="https://library.mededtech.ru/rest/documents/post1100/#list_item_h6fi9v" TargetMode="External"/><Relationship Id="rId72" Type="http://schemas.openxmlformats.org/officeDocument/2006/relationships/hyperlink" Target="https://library.mededtech.ru/rest/documents/sp2.4.3648_20/#p_1_1" TargetMode="External"/><Relationship Id="rId73" Type="http://schemas.openxmlformats.org/officeDocument/2006/relationships/hyperlink" Target="https://library.mededtech.ru/rest/documents/post1100/#list_item_tbfueq" TargetMode="External"/><Relationship Id="rId74" Type="http://schemas.openxmlformats.org/officeDocument/2006/relationships/hyperlink" Target="https://library.mededtech.ru/rest/documents/fzN248/#list_item_2tn8v2" TargetMode="External"/><Relationship Id="rId75" Type="http://schemas.openxmlformats.org/officeDocument/2006/relationships/hyperlink" Target="https://library.mededtech.ru/rest/documents/sp2.4.3648_20/#list_item_m2gr55" TargetMode="External"/><Relationship Id="rId76" Type="http://schemas.openxmlformats.org/officeDocument/2006/relationships/hyperlink" Target="https://library.mededtech.ru/rest/documents/sp2.4.3648_20/#list_item_u32gck" TargetMode="External"/><Relationship Id="rId77" Type="http://schemas.openxmlformats.org/officeDocument/2006/relationships/hyperlink" Target="https://library.mededtech.ru/rest/documents/sp2.4.3648_20/#list_item_h5b23u" TargetMode="External"/><Relationship Id="rId78" Type="http://schemas.openxmlformats.org/officeDocument/2006/relationships/hyperlink" Target="https://library.mededtech.ru/rest/documents/sp2.4.3648_20/#list_item_8emj5t" TargetMode="External"/><Relationship Id="rId79" Type="http://schemas.openxmlformats.org/officeDocument/2006/relationships/hyperlink" Target="https://library.mededtech.ru/rest/documents/sp2.4.3648_20/#list_item_2tif12" TargetMode="External"/><Relationship Id="rId80" Type="http://schemas.openxmlformats.org/officeDocument/2006/relationships/hyperlink" Target="https://library.mededtech.ru/rest/documents/sp2.4.3648_20/#list_item_j3661m" TargetMode="External"/><Relationship Id="rId81" Type="http://schemas.openxmlformats.org/officeDocument/2006/relationships/hyperlink" Target="https://library.mededtech.ru/rest/documents/sp1.2.3685-21/#tab3_13" TargetMode="External"/><Relationship Id="rId82" Type="http://schemas.openxmlformats.org/officeDocument/2006/relationships/hyperlink" Target="https://library.mededtech.ru/rest/documents/sp1.2.3685-21/#tab3_5" TargetMode="External"/><Relationship Id="rId83" Type="http://schemas.openxmlformats.org/officeDocument/2006/relationships/hyperlink" Target="https://library.mededtech.ru/rest/documents/sp1.2.3685-21/#tab3_1" TargetMode="External"/><Relationship Id="rId84" Type="http://schemas.openxmlformats.org/officeDocument/2006/relationships/hyperlink" Target="https://library.mededtech.ru/rest/documents/sp1.2.3685-21/#list_item_0sjbuo" TargetMode="External"/><Relationship Id="rId85" Type="http://schemas.openxmlformats.org/officeDocument/2006/relationships/hyperlink" Target="https://library.mededtech.ru/rest/documents/sp1.2.3685-21/#tab3_10" TargetMode="External"/><Relationship Id="rId86" Type="http://schemas.openxmlformats.org/officeDocument/2006/relationships/hyperlink" Target="https://library.mededtech.ru/rest/documents/sp2.4.3648_20/#list_item_5brk6b" TargetMode="External"/><Relationship Id="rId87" Type="http://schemas.openxmlformats.org/officeDocument/2006/relationships/hyperlink" Target="https://library.mededtech.ru/rest/documents/sp1.2.3685-21/#tab6_7" TargetMode="External"/><Relationship Id="rId88" Type="http://schemas.openxmlformats.org/officeDocument/2006/relationships/hyperlink" Target="https://library.mededtech.ru/rest/documents/sp2.4.3648_20/#list_item_oa4di8" TargetMode="External"/><Relationship Id="rId89" Type="http://schemas.openxmlformats.org/officeDocument/2006/relationships/hyperlink" Target="https://library.mededtech.ru/rest/documents/sp2.4.3648_20/#list_item_2di2lb" TargetMode="External"/><Relationship Id="rId90" Type="http://schemas.openxmlformats.org/officeDocument/2006/relationships/hyperlink" Target="https://library.mededtech.ru/rest/documents/sp1.2.3685-21/#tab6_16" TargetMode="External"/><Relationship Id="rId91" Type="http://schemas.openxmlformats.org/officeDocument/2006/relationships/hyperlink" Target="https://library.mededtech.ru/rest/documents/fzN248/#list_item_oas4qb" TargetMode="External"/><Relationship Id="rId92" Type="http://schemas.openxmlformats.org/officeDocument/2006/relationships/hyperlink" Target="https://library.mededtech.ru/rest/documents/fzN248/#list_item_ilhp25" TargetMode="External"/><Relationship Id="rId93" Type="http://schemas.openxmlformats.org/officeDocument/2006/relationships/hyperlink" Target="https://library.mededtech.ru/rest/documents/fzN248/#list_item_pstbl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